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b w:val="1"/>
          <w:sz w:val="32"/>
          <w:szCs w:val="32"/>
        </w:rPr>
      </w:pPr>
      <w:r w:rsidDel="00000000" w:rsidR="00000000" w:rsidRPr="00000000">
        <w:rPr>
          <w:b w:val="1"/>
          <w:sz w:val="32"/>
          <w:szCs w:val="32"/>
          <w:rtl w:val="0"/>
        </w:rPr>
        <w:t xml:space="preserve">Molalla River Academy</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tabs>
          <w:tab w:val="left" w:leader="none" w:pos="1987"/>
        </w:tabs>
        <w:spacing w:line="240" w:lineRule="auto"/>
        <w:ind w:left="19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Code:</w:t>
        <w:tab/>
        <w:t xml:space="preserve">GBN/JBA-AR(1)</w:t>
      </w:r>
    </w:p>
    <w:p w:rsidR="00000000" w:rsidDel="00000000" w:rsidP="00000000" w:rsidRDefault="00000000" w:rsidRPr="00000000" w14:paraId="00000004">
      <w:pPr>
        <w:tabs>
          <w:tab w:val="left" w:leader="none" w:pos="1987"/>
        </w:tabs>
        <w:spacing w:line="240" w:lineRule="auto"/>
        <w:ind w:left="19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Revised/Reviewed:</w:t>
        <w:tab/>
        <w:t xml:space="preserve">3/03/22</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rPr>
      </w:pPr>
      <w:r w:rsidDel="00000000" w:rsidR="00000000" w:rsidRPr="00000000">
        <w:rPr>
          <w:rtl w:val="0"/>
        </w:rPr>
      </w:r>
    </w:p>
    <w:bookmarkStart w:colFirst="0" w:colLast="0" w:name="kix.8udkwcwadu3j" w:id="0"/>
    <w:bookmarkEnd w:id="0"/>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Sexual Harassment Complaint Procedure</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and complaints of sexual harassment should be made to the following individual(s):</w:t>
      </w:r>
    </w:p>
    <w:p w:rsidR="00000000" w:rsidDel="00000000" w:rsidP="00000000" w:rsidRDefault="00000000" w:rsidRPr="00000000" w14:paraId="00000009">
      <w:pPr>
        <w:tabs>
          <w:tab w:val="left" w:leader="none" w:pos="720"/>
          <w:tab w:val="left" w:leader="none" w:pos="3600"/>
          <w:tab w:val="left" w:leader="none" w:pos="5760"/>
          <w:tab w:val="left" w:leader="none" w:pos="774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tab/>
        <w:tab/>
        <w:t xml:space="preserve">Position</w:t>
        <w:tab/>
        <w:t xml:space="preserve">Phone</w:t>
        <w:tab/>
        <w:t xml:space="preserve">Email</w:t>
      </w:r>
    </w:p>
    <w:p w:rsidR="00000000" w:rsidDel="00000000" w:rsidP="00000000" w:rsidRDefault="00000000" w:rsidRPr="00000000" w14:paraId="0000000A">
      <w:pPr>
        <w:tabs>
          <w:tab w:val="left" w:leader="none" w:pos="720"/>
          <w:tab w:val="left" w:leader="none" w:pos="3600"/>
          <w:tab w:val="left" w:leader="none" w:pos="6120"/>
          <w:tab w:val="left" w:leader="none" w:pos="77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tabs>
          <w:tab w:val="left" w:leader="none" w:pos="0"/>
          <w:tab w:val="left" w:leader="none" w:pos="3420"/>
          <w:tab w:val="left" w:leader="none" w:pos="3600"/>
          <w:tab w:val="left" w:leader="none" w:pos="5580"/>
          <w:tab w:val="left" w:leader="none" w:pos="5760"/>
          <w:tab w:val="left" w:leader="none" w:pos="7560"/>
          <w:tab w:val="left" w:leader="none" w:pos="7740"/>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Iva Quinlan</w:t>
        <w:tab/>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Executive director</w:t>
        <w:tab/>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503-829-6672</w:t>
        <w:tab/>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director@mra-k8.com</w:t>
        <w:tab/>
      </w:r>
    </w:p>
    <w:p w:rsidR="00000000" w:rsidDel="00000000" w:rsidP="00000000" w:rsidRDefault="00000000" w:rsidRPr="00000000" w14:paraId="0000000C">
      <w:pPr>
        <w:tabs>
          <w:tab w:val="left" w:leader="none" w:pos="0"/>
          <w:tab w:val="left" w:leader="none" w:pos="3420"/>
          <w:tab w:val="left" w:leader="none" w:pos="3600"/>
          <w:tab w:val="left" w:leader="none" w:pos="5580"/>
          <w:tab w:val="left" w:leader="none" w:pos="5760"/>
          <w:tab w:val="left" w:leader="none" w:pos="7560"/>
          <w:tab w:val="left" w:leader="none" w:pos="7740"/>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public charter school official receiving the complaint shall issue the required written notice as outlined under Oregon Procedures in Board policy GBN/JBA - Sexual Harassment.</w:t>
      </w:r>
    </w:p>
    <w:p w:rsidR="00000000" w:rsidDel="00000000" w:rsidP="00000000" w:rsidRDefault="00000000" w:rsidRPr="00000000" w14:paraId="0000000E">
      <w:pPr>
        <w:spacing w:line="240" w:lineRule="auto"/>
        <w:ind w:left="11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1</w:t>
        <w:tab/>
        <w:t xml:space="preserve">The public charter school official receiving the report or complaint shall promptly initiate an investigation using procedures and standards, including but not limited to, those identified in Board policy GBN/JBA - Sexual Harassment and will notify the complainant or reporting person, any impacted person who is not a reporting person (if appropriate), each reported person, and where applicable the parents of a reporting person, impacted person, or reported person, when such investigation is initiated. The official will arrange such meetings as may be necessary to discuss the issue with all concerned parties within five working days after receipt of the report or complaint. The parties will have an opportunity to submit evidence and a list of witnesses. All findings of the investigation shall be reduced to writing. The official conducting the investigation shall notify the parties in writing that the investigation is concluded and if a violation of the policy was found to have occurred to the extent allowable by law within 30 days of receipt of the report or complaint. </w:t>
      </w:r>
    </w:p>
    <w:p w:rsidR="00000000" w:rsidDel="00000000" w:rsidP="00000000" w:rsidRDefault="00000000" w:rsidRPr="00000000" w14:paraId="0000000F">
      <w:pPr>
        <w:spacing w:line="240" w:lineRule="auto"/>
        <w:ind w:left="115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40" w:line="240" w:lineRule="auto"/>
        <w:ind w:left="11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copy of the required written notice(s) and the date and details of notification of the notice of investigation and results of the investigation, together with any other documentation related to the sexual harassment incident, including disciplinary action taken or recommended, shall be maintained.</w:t>
      </w:r>
    </w:p>
    <w:p w:rsidR="00000000" w:rsidDel="00000000" w:rsidP="00000000" w:rsidRDefault="00000000" w:rsidRPr="00000000" w14:paraId="00000011">
      <w:pPr>
        <w:spacing w:line="240" w:lineRule="auto"/>
        <w:ind w:left="11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2</w:t>
        <w:tab/>
        <w:t xml:space="preserve">If a complainant is not satisfied with the decision at Step 1, the complainant may submit a written appeal to the Board. Such appeal must be filed within 10 working days after receipt of the Step 2 decision. The Board will review the decision of the executive director in a public meeting to determine what action is appropriate. The Board may use executive session if the subject matter qualifies under Oregon law. Appropriate action may include, but is not limited to, holding a hearing, requesting additional information, and adopting the executive director’s decision. All parties involved, including the school administration, may be asked to attend a hearing for the purposes of making further explanations and clarifying the issues. The Board shall provide a written decision to the complainant within 30 working days following receipt of the appeal.</w:t>
      </w:r>
    </w:p>
    <w:p w:rsidR="00000000" w:rsidDel="00000000" w:rsidP="00000000" w:rsidRDefault="00000000" w:rsidRPr="00000000" w14:paraId="00000012">
      <w:pPr>
        <w:spacing w:line="240" w:lineRule="auto"/>
        <w:ind w:left="115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line="240" w:lineRule="auto"/>
        <w:ind w:left="1152" w:firstLine="0"/>
        <w:rPr>
          <w:rFonts w:ascii="Times New Roman" w:cs="Times New Roman" w:eastAsia="Times New Roman" w:hAnsi="Times New Roman"/>
          <w:sz w:val="24"/>
          <w:szCs w:val="24"/>
        </w:rPr>
        <w:sectPr>
          <w:pgSz w:h="15840" w:w="12240" w:orient="portrait"/>
          <w:pgMar w:bottom="720" w:top="720" w:left="720" w:right="720" w:header="720" w:footer="720"/>
          <w:pgNumType w:start="1"/>
        </w:sectPr>
      </w:pPr>
      <w:r w:rsidDel="00000000" w:rsidR="00000000" w:rsidRPr="00000000">
        <w:rPr>
          <w:rFonts w:ascii="Times New Roman" w:cs="Times New Roman" w:eastAsia="Times New Roman" w:hAnsi="Times New Roman"/>
          <w:sz w:val="24"/>
          <w:szCs w:val="24"/>
          <w:rtl w:val="0"/>
        </w:rPr>
        <w:t xml:space="preserve">If the Board chooses not to hear the complaint, the executive director’s decision in Step 1 is final.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director is authorized to amend these procedures (including timelines) when the executive director feels it is necessary for the efficient handling of the complaint. Notice of any amendments will be promptly provided to the parties. </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Complaints against the executive director or a Board member (other than the Board chair) may start at step 2 and should be referred to the Board chair on behalf of the Board. The Board chair will cause the required notices to be provided. The Board chair shall present the complaint to the Board. The Board may use executive session if the subject matter qualifies under Oregon law. If the Board decides an investigation is warranted, the Board may refer the investigation to a third party. When the investigation is complete, the results will be presented to the Board. After receiving the results of the investigation, the Board shall decide, within 20 days, in open session what action, if any, is warranted. The Board chair shall notify the parties in writing that the investigation is concluded and if a violation of the policy was found to have occurred to the extent allowable by law.</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Complaints against the Board chair may start at Step 2 and should be referred to the Board vice chair on behalf of the Board. The Board vice chair will cause required notices to be provided. The Board vice chair shall present the complaint to the Board. The Board may use executive session if the subject matter qualifies under Oregon law. If the Board decides an investigation is warranted, the Board may refer the investigation to a third party. When the investigation is complete, the results will be presented to the Board. After receiving the results of the investigation, the Board shall decide, within 20 days, in open session what action, if any, is warranted. The Board vice chair shall notify the parties in writing that the investigation is concluded and if a violation of the policy was found to have occurred to the extent allowable by law. </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complaints related to employment may be filed with the U.S. Department of Labor, Equal Employment Opportunity Commission or Oregon Bureau of Labor and Industries.</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complaints related to educational programs and services may be made to the Regional Civil Rights Director, U.S. Department of Education, Office for Civil Rights, Region X, 915 Second Ave., Room 3310, Seattle, WA 98174-1099.</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information regarding filing of a complaint may be obtained through the public charter school office.</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documentation related to sexual harassment complaints may become part of the student’s education record or employee’s personnel file, as appropriate. Additionally, a copy of all sexual harassment complaints and documentation will be maintained as a confidential file and stored in the public charter school office.</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sectPr>
          <w:type w:val="nextPage"/>
          <w:pgSz w:h="15840" w:w="12240" w:orient="portrait"/>
          <w:pgMar w:bottom="720" w:top="900" w:left="1224" w:right="720" w:header="432" w:footer="720"/>
        </w:sectPr>
      </w:pPr>
      <w:r w:rsidDel="00000000" w:rsidR="00000000" w:rsidRPr="00000000">
        <w:rPr>
          <w:rFonts w:ascii="Times New Roman" w:cs="Times New Roman" w:eastAsia="Times New Roman" w:hAnsi="Times New Roman"/>
          <w:sz w:val="24"/>
          <w:szCs w:val="24"/>
          <w:rtl w:val="0"/>
        </w:rPr>
        <w:t xml:space="preserve">The executive director shall report the name of any person holding a teaching license or registered with Teacher Standards and Practices Commission (TSPC) or participating in a practicum under Oregon Administrative Rule (OAR) Chapter 584, Division 17, when, after appropriate investigation, there is reasonable cause to believe the person may have committed an act of sexual harassment. Reports shall be made to TSPC within 30 days of such a finding. Reports of sexual contact with a student shall be given to a representative from law enforcement or Oregon Department of Human Services, Community Human Services, as possible abuse of a child.</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Molalla River Academy</w:t>
      </w:r>
    </w:p>
    <w:p w:rsidR="00000000" w:rsidDel="00000000" w:rsidP="00000000" w:rsidRDefault="00000000" w:rsidRPr="00000000" w14:paraId="0000002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16897 S. Callahan Road, Molalla, Oregon 97038 | 503-829-6672</w:t>
      </w:r>
    </w:p>
    <w:p w:rsidR="00000000" w:rsidDel="00000000" w:rsidP="00000000" w:rsidRDefault="00000000" w:rsidRPr="00000000" w14:paraId="0000002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Sexual Harassment Complaint Form</w:t>
      </w:r>
    </w:p>
    <w:p w:rsidR="00000000" w:rsidDel="00000000" w:rsidP="00000000" w:rsidRDefault="00000000" w:rsidRPr="00000000" w14:paraId="00000028">
      <w:pPr>
        <w:spacing w:line="240" w:lineRule="auto"/>
        <w:jc w:val="center"/>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29">
      <w:pPr>
        <w:spacing w:line="240" w:lineRule="auto"/>
        <w:jc w:val="center"/>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2A">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complainant: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 of complainant: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complaint: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alleged harasser: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31">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Date and place of incident or incidents: </w:t>
      </w: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33">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35">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misconduct: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37">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39">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3B">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witnesses (if any):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sexual harassment, i.e., letters, photos, etc. (attach evidence if possible):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43">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45">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information: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47">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8">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49">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4B">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that all of the information on this form is accurate and true to the best of my knowledge.</w:t>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tabs>
          <w:tab w:val="left" w:leader="none" w:pos="6300"/>
          <w:tab w:val="left" w:leader="none" w:pos="6840"/>
          <w:tab w:val="right" w:leader="none" w:pos="10260"/>
        </w:tabs>
        <w:spacing w:line="240" w:lineRule="auto"/>
        <w:rPr>
          <w:rFonts w:ascii="Times New Roman" w:cs="Times New Roman" w:eastAsia="Times New Roman" w:hAnsi="Times New Roman"/>
          <w:sz w:val="24"/>
          <w:szCs w:val="24"/>
        </w:rPr>
        <w:sectPr>
          <w:type w:val="nextPage"/>
          <w:pgSz w:h="15840" w:w="12240" w:orient="portrait"/>
          <w:pgMar w:bottom="720" w:top="900" w:left="1224" w:right="720" w:header="432" w:footer="720"/>
        </w:sect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ab/>
        <w:t xml:space="preserve">Date: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50">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Molalla River Academy</w:t>
      </w:r>
    </w:p>
    <w:p w:rsidR="00000000" w:rsidDel="00000000" w:rsidP="00000000" w:rsidRDefault="00000000" w:rsidRPr="00000000" w14:paraId="0000005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16897 S. Callahan Road, Molalla, Oregon 97038 | 503-829-6672</w:t>
      </w:r>
    </w:p>
    <w:p w:rsidR="00000000" w:rsidDel="00000000" w:rsidP="00000000" w:rsidRDefault="00000000" w:rsidRPr="00000000" w14:paraId="0000005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Witness Disclosure Form</w:t>
      </w: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Witness: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58">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 of Witness: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5A">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Testimony/Interview: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5C">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Instance Witnessed: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64">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5">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tabs>
          <w:tab w:val="right" w:leader="none" w:pos="102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Information: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tabs>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that all the information on this form is accurate and true to the best of my knowledge.</w:t>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tabs>
          <w:tab w:val="left" w:leader="none" w:pos="6300"/>
          <w:tab w:val="left" w:leader="none" w:pos="6840"/>
          <w:tab w:val="right" w:leader="none" w:pos="102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ab/>
        <w:t xml:space="preserve">Date: </w:t>
      </w: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7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sectPr>
      <w:type w:val="nextPage"/>
      <w:pgSz w:h="15840" w:w="12240" w:orient="portrait"/>
      <w:pgMar w:bottom="720" w:top="900" w:left="1224" w:right="720" w:header="432"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